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4BD1D" w14:textId="77777777"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>Wymagania edukacyjne na poszczególne oceny</w:t>
      </w:r>
      <w:r w:rsidR="00C84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EC34626" w14:textId="3B67D6CE" w:rsidR="00384E9E" w:rsidRPr="00C84B43" w:rsidRDefault="00384E9E" w:rsidP="00C84B4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/>
          <w:b/>
          <w:bCs/>
          <w:sz w:val="32"/>
          <w:szCs w:val="32"/>
        </w:rPr>
        <w:t>edycja do uszczuplonej podstawy programowej</w:t>
      </w:r>
      <w:r w:rsidR="00EC3982">
        <w:rPr>
          <w:rFonts w:ascii="Times New Roman" w:hAnsi="Times New Roman"/>
          <w:b/>
          <w:bCs/>
          <w:sz w:val="32"/>
          <w:szCs w:val="32"/>
        </w:rPr>
        <w:t xml:space="preserve"> 2024</w:t>
      </w:r>
    </w:p>
    <w:p w14:paraId="5C267E65" w14:textId="7DC0F6A6"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 xml:space="preserve">ne z planem wynikowym autorstwa Lidii </w:t>
      </w:r>
      <w:proofErr w:type="spellStart"/>
      <w:r w:rsidR="00B24B58">
        <w:rPr>
          <w:rFonts w:ascii="Times New Roman" w:hAnsi="Times New Roman" w:cs="Times New Roman"/>
          <w:sz w:val="24"/>
          <w:szCs w:val="24"/>
        </w:rPr>
        <w:t>Bancerz</w:t>
      </w:r>
      <w:proofErr w:type="spellEnd"/>
      <w:r w:rsidR="00B24B58">
        <w:rPr>
          <w:rFonts w:ascii="Times New Roman" w:hAnsi="Times New Roman" w:cs="Times New Roman"/>
          <w:sz w:val="24"/>
          <w:szCs w:val="24"/>
        </w:rPr>
        <w:t>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896296" w14:textId="77777777"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3FB25" w14:textId="7C321CD7"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7A2B5" w14:textId="77777777"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37651CC7" w14:textId="117BB47C"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>sposobach spędzania 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735B46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735B46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wyczerpujący opis 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proofErr w:type="spellStart"/>
            <w:r w:rsidR="00646495" w:rsidRPr="00893A83"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 w:rsidR="00646495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 temat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B6772B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i zabawne przydomki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735B46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3FE7EBAD" w14:textId="77777777"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</w:t>
            </w:r>
            <w:proofErr w:type="spellStart"/>
            <w:r w:rsidR="0059631D" w:rsidRPr="00893A83"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5C2C4606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F81364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</w:t>
            </w:r>
            <w:proofErr w:type="spellEnd"/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1B00B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3F7C18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473B45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D24DFE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</w:t>
            </w:r>
            <w:proofErr w:type="spellStart"/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740E386" w14:textId="4FBAEA1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imieniu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Nangijalę</w:t>
            </w:r>
            <w:proofErr w:type="spellEnd"/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735B46">
        <w:trPr>
          <w:trHeight w:val="352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906385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F14E7F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</w:t>
            </w:r>
            <w:proofErr w:type="spellStart"/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 xml:space="preserve">eniach 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C23698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Podsumowanie wiadomości z rozdziału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 xml:space="preserve">Opracowała: Lidia </w:t>
      </w:r>
      <w:proofErr w:type="spellStart"/>
      <w:r w:rsidRPr="00893A83">
        <w:rPr>
          <w:rFonts w:ascii="Times New Roman" w:hAnsi="Times New Roman"/>
          <w:sz w:val="20"/>
          <w:szCs w:val="20"/>
        </w:rPr>
        <w:t>Bancerz</w:t>
      </w:r>
      <w:proofErr w:type="spellEnd"/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0F9BD" w14:textId="77777777" w:rsidR="00E4161D" w:rsidRDefault="00E4161D" w:rsidP="000B228B">
      <w:pPr>
        <w:spacing w:after="0" w:line="240" w:lineRule="auto"/>
      </w:pPr>
      <w:r>
        <w:separator/>
      </w:r>
    </w:p>
  </w:endnote>
  <w:endnote w:type="continuationSeparator" w:id="0">
    <w:p w14:paraId="57B36EE0" w14:textId="77777777" w:rsidR="00E4161D" w:rsidRDefault="00E4161D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986DA" w14:textId="77777777" w:rsidR="00E4161D" w:rsidRDefault="00E4161D" w:rsidP="000B228B">
      <w:pPr>
        <w:spacing w:after="0" w:line="240" w:lineRule="auto"/>
      </w:pPr>
      <w:r>
        <w:separator/>
      </w:r>
    </w:p>
  </w:footnote>
  <w:footnote w:type="continuationSeparator" w:id="0">
    <w:p w14:paraId="596CB4EE" w14:textId="77777777" w:rsidR="00E4161D" w:rsidRDefault="00E4161D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41</Pages>
  <Words>12347</Words>
  <Characters>74085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Karina Kosicka</cp:lastModifiedBy>
  <cp:revision>32</cp:revision>
  <dcterms:created xsi:type="dcterms:W3CDTF">2024-08-01T13:46:00Z</dcterms:created>
  <dcterms:modified xsi:type="dcterms:W3CDTF">2024-08-02T11:40:00Z</dcterms:modified>
</cp:coreProperties>
</file>